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DDEE" w14:textId="67412C83" w:rsidR="00D14281" w:rsidRPr="00D14281" w:rsidRDefault="00D14281" w:rsidP="00D14281">
      <w:pPr>
        <w:autoSpaceDE w:val="0"/>
        <w:autoSpaceDN w:val="0"/>
        <w:adjustRightInd w:val="0"/>
        <w:jc w:val="both"/>
        <w:rPr>
          <w:rFonts w:ascii="Arial" w:eastAsia="Times New Roman" w:hAnsi="Arial" w:cs="Arial"/>
          <w:b/>
          <w:bCs/>
          <w:i/>
          <w:iCs/>
          <w:color w:val="000000" w:themeColor="text1"/>
          <w:lang w:eastAsia="en-GB"/>
        </w:rPr>
      </w:pPr>
      <w:r w:rsidRPr="00D14281">
        <w:rPr>
          <w:rFonts w:ascii="Arial" w:eastAsia="Times New Roman" w:hAnsi="Arial" w:cs="Arial"/>
          <w:b/>
          <w:bCs/>
          <w:i/>
          <w:iCs/>
          <w:color w:val="000000" w:themeColor="text1"/>
          <w:lang w:eastAsia="en-GB"/>
        </w:rPr>
        <w:t>News Flash –</w:t>
      </w:r>
      <w:r>
        <w:rPr>
          <w:rFonts w:ascii="Arial" w:eastAsia="Times New Roman" w:hAnsi="Arial" w:cs="Arial"/>
          <w:b/>
          <w:bCs/>
          <w:i/>
          <w:iCs/>
          <w:color w:val="000000" w:themeColor="text1"/>
          <w:lang w:eastAsia="en-GB"/>
        </w:rPr>
        <w:t xml:space="preserve"> 0</w:t>
      </w:r>
      <w:r w:rsidR="006172E4">
        <w:rPr>
          <w:rFonts w:ascii="Arial" w:eastAsia="Times New Roman" w:hAnsi="Arial" w:cs="Arial"/>
          <w:b/>
          <w:bCs/>
          <w:i/>
          <w:iCs/>
          <w:color w:val="000000" w:themeColor="text1"/>
          <w:lang w:eastAsia="en-GB"/>
        </w:rPr>
        <w:t>6</w:t>
      </w:r>
      <w:r>
        <w:rPr>
          <w:rFonts w:ascii="Arial" w:eastAsia="Times New Roman" w:hAnsi="Arial" w:cs="Arial"/>
          <w:b/>
          <w:bCs/>
          <w:i/>
          <w:iCs/>
          <w:color w:val="000000" w:themeColor="text1"/>
          <w:lang w:eastAsia="en-GB"/>
        </w:rPr>
        <w:t xml:space="preserve"> June </w:t>
      </w:r>
      <w:r w:rsidRPr="00D14281">
        <w:rPr>
          <w:rFonts w:ascii="Arial" w:eastAsia="Times New Roman" w:hAnsi="Arial" w:cs="Arial"/>
          <w:b/>
          <w:bCs/>
          <w:i/>
          <w:iCs/>
          <w:color w:val="000000" w:themeColor="text1"/>
          <w:lang w:eastAsia="en-GB"/>
        </w:rPr>
        <w:t>202</w:t>
      </w:r>
      <w:r>
        <w:rPr>
          <w:rFonts w:ascii="Arial" w:eastAsia="Times New Roman" w:hAnsi="Arial" w:cs="Arial"/>
          <w:b/>
          <w:bCs/>
          <w:i/>
          <w:iCs/>
          <w:color w:val="000000" w:themeColor="text1"/>
          <w:lang w:eastAsia="en-GB"/>
        </w:rPr>
        <w:t>2</w:t>
      </w:r>
      <w:r w:rsidRPr="00D14281">
        <w:rPr>
          <w:rFonts w:ascii="Arial" w:eastAsia="Times New Roman" w:hAnsi="Arial" w:cs="Arial"/>
          <w:b/>
          <w:bCs/>
          <w:i/>
          <w:iCs/>
          <w:color w:val="000000" w:themeColor="text1"/>
          <w:lang w:eastAsia="en-GB"/>
        </w:rPr>
        <w:t xml:space="preserve"> – </w:t>
      </w:r>
      <w:r w:rsidRPr="00D14281">
        <w:rPr>
          <w:rFonts w:ascii="Arial" w:eastAsia="Times New Roman" w:hAnsi="Arial" w:cs="Arial"/>
          <w:b/>
          <w:bCs/>
          <w:i/>
          <w:iCs/>
          <w:color w:val="002060"/>
          <w:lang w:eastAsia="en-GB"/>
        </w:rPr>
        <w:t xml:space="preserve">Lambrecht Law Office </w:t>
      </w:r>
    </w:p>
    <w:p w14:paraId="7B5764C2" w14:textId="77777777" w:rsidR="00D14281" w:rsidRDefault="00D14281" w:rsidP="0092022F">
      <w:pPr>
        <w:shd w:val="clear" w:color="auto" w:fill="FFFFFF"/>
        <w:jc w:val="both"/>
        <w:rPr>
          <w:rFonts w:ascii="Arial" w:eastAsia="Times New Roman" w:hAnsi="Arial" w:cs="Arial"/>
          <w:b/>
          <w:bCs/>
          <w:color w:val="222222"/>
          <w:lang w:eastAsia="en-GB"/>
        </w:rPr>
      </w:pPr>
    </w:p>
    <w:p w14:paraId="11275C7C" w14:textId="62C153A5" w:rsidR="0092022F" w:rsidRPr="0092022F" w:rsidRDefault="0092022F" w:rsidP="0092022F">
      <w:pPr>
        <w:shd w:val="clear" w:color="auto" w:fill="FFFFFF"/>
        <w:jc w:val="both"/>
        <w:rPr>
          <w:rFonts w:ascii="Arial" w:eastAsia="Times New Roman" w:hAnsi="Arial" w:cs="Arial"/>
          <w:b/>
          <w:bCs/>
          <w:color w:val="222222"/>
          <w:lang w:val="en-IE" w:eastAsia="en-GB"/>
        </w:rPr>
      </w:pPr>
      <w:r w:rsidRPr="0092022F">
        <w:rPr>
          <w:rFonts w:ascii="Arial" w:eastAsia="Times New Roman" w:hAnsi="Arial" w:cs="Arial"/>
          <w:b/>
          <w:bCs/>
          <w:color w:val="222222"/>
          <w:lang w:eastAsia="en-GB"/>
        </w:rPr>
        <w:t xml:space="preserve">Flemish Decree published on the indemnity for </w:t>
      </w:r>
      <w:r w:rsidR="00EF494B">
        <w:rPr>
          <w:rFonts w:ascii="Arial" w:eastAsia="Times New Roman" w:hAnsi="Arial" w:cs="Arial"/>
          <w:b/>
          <w:bCs/>
          <w:color w:val="222222"/>
          <w:lang w:eastAsia="en-GB"/>
        </w:rPr>
        <w:t xml:space="preserve">incoming </w:t>
      </w:r>
      <w:r w:rsidRPr="0092022F">
        <w:rPr>
          <w:rFonts w:ascii="Arial" w:eastAsia="Times New Roman" w:hAnsi="Arial" w:cs="Arial"/>
          <w:b/>
          <w:bCs/>
          <w:color w:val="222222"/>
          <w:lang w:eastAsia="en-GB"/>
        </w:rPr>
        <w:t>loans of artworks for temporary exhibitions.</w:t>
      </w:r>
    </w:p>
    <w:p w14:paraId="2E13CE13" w14:textId="77777777" w:rsidR="0092022F" w:rsidRPr="0092022F" w:rsidRDefault="0092022F" w:rsidP="0092022F">
      <w:pPr>
        <w:shd w:val="clear" w:color="auto" w:fill="FFFFFF"/>
        <w:jc w:val="both"/>
        <w:rPr>
          <w:rFonts w:ascii="Arial" w:eastAsia="Times New Roman" w:hAnsi="Arial" w:cs="Arial"/>
          <w:color w:val="222222"/>
          <w:lang w:val="en-IE" w:eastAsia="en-GB"/>
        </w:rPr>
      </w:pPr>
      <w:r w:rsidRPr="0092022F">
        <w:rPr>
          <w:rFonts w:ascii="Arial" w:eastAsia="Times New Roman" w:hAnsi="Arial" w:cs="Arial"/>
          <w:color w:val="222222"/>
          <w:lang w:eastAsia="en-GB"/>
        </w:rPr>
        <w:t> </w:t>
      </w:r>
    </w:p>
    <w:p w14:paraId="728501FF" w14:textId="0B5BBD8F" w:rsidR="00B70E55" w:rsidRDefault="0092022F" w:rsidP="0092022F">
      <w:pPr>
        <w:jc w:val="both"/>
      </w:pPr>
      <w:r>
        <w:t xml:space="preserve">The Flemish Parliament has recently adopted </w:t>
      </w:r>
      <w:r w:rsidR="00FC5BE0">
        <w:t xml:space="preserve">a </w:t>
      </w:r>
      <w:r>
        <w:t>decree</w:t>
      </w:r>
      <w:r w:rsidR="00150D53">
        <w:rPr>
          <w:rStyle w:val="Voetnootmarkering"/>
        </w:rPr>
        <w:footnoteReference w:id="1"/>
      </w:r>
      <w:r w:rsidR="005830C7">
        <w:t>,</w:t>
      </w:r>
      <w:r>
        <w:t xml:space="preserve"> establishing a </w:t>
      </w:r>
      <w:r w:rsidR="00FC5BE0">
        <w:t xml:space="preserve">government indemnity scheme </w:t>
      </w:r>
      <w:r w:rsidR="005830C7">
        <w:t xml:space="preserve">for incoming loans </w:t>
      </w:r>
      <w:r w:rsidR="004F12F0">
        <w:t xml:space="preserve">of artworks </w:t>
      </w:r>
      <w:r w:rsidR="005830C7">
        <w:t>for temporary exhibitions</w:t>
      </w:r>
      <w:r w:rsidR="00322712">
        <w:t xml:space="preserve"> (the </w:t>
      </w:r>
      <w:r w:rsidR="00623ED0">
        <w:t>“</w:t>
      </w:r>
      <w:r w:rsidR="00322712" w:rsidRPr="001615FB">
        <w:rPr>
          <w:b/>
        </w:rPr>
        <w:t xml:space="preserve">Indemnity </w:t>
      </w:r>
      <w:r w:rsidR="00322712" w:rsidRPr="001615FB">
        <w:rPr>
          <w:b/>
          <w:bCs/>
        </w:rPr>
        <w:t>Decree</w:t>
      </w:r>
      <w:r w:rsidR="00623ED0">
        <w:rPr>
          <w:b/>
          <w:bCs/>
        </w:rPr>
        <w:t>”</w:t>
      </w:r>
      <w:r w:rsidR="00322712">
        <w:t>)</w:t>
      </w:r>
      <w:r w:rsidR="005830C7">
        <w:t>. Th</w:t>
      </w:r>
      <w:r w:rsidR="00FE250D">
        <w:t>e scheme</w:t>
      </w:r>
      <w:r w:rsidR="005830C7">
        <w:t xml:space="preserve"> </w:t>
      </w:r>
      <w:r w:rsidR="00FE250D">
        <w:t xml:space="preserve">provides for </w:t>
      </w:r>
      <w:r w:rsidR="005830C7">
        <w:t xml:space="preserve">a </w:t>
      </w:r>
      <w:r>
        <w:t xml:space="preserve">guarantee </w:t>
      </w:r>
      <w:r w:rsidR="0001006D">
        <w:t xml:space="preserve">from </w:t>
      </w:r>
      <w:r>
        <w:t>the Flemish Community in the event of damage</w:t>
      </w:r>
      <w:r w:rsidR="00FE250D">
        <w:t xml:space="preserve"> or </w:t>
      </w:r>
      <w:r w:rsidR="00623ED0">
        <w:t>the</w:t>
      </w:r>
      <w:r>
        <w:t xml:space="preserve"> total or partial loss of incoming loans for temporary exhibitions</w:t>
      </w:r>
      <w:r w:rsidR="0028526E" w:rsidRPr="0028526E">
        <w:t xml:space="preserve"> with</w:t>
      </w:r>
      <w:r w:rsidR="00996C0F">
        <w:t xml:space="preserve"> </w:t>
      </w:r>
      <w:r w:rsidR="0028526E" w:rsidRPr="0028526E">
        <w:t xml:space="preserve">international </w:t>
      </w:r>
      <w:r w:rsidR="0028526E">
        <w:t>scope</w:t>
      </w:r>
      <w:r>
        <w:t xml:space="preserve">. </w:t>
      </w:r>
    </w:p>
    <w:p w14:paraId="25508188" w14:textId="1C85F6E8" w:rsidR="0092022F" w:rsidRDefault="0092022F" w:rsidP="0092022F">
      <w:pPr>
        <w:jc w:val="both"/>
      </w:pPr>
    </w:p>
    <w:p w14:paraId="6EA73C25" w14:textId="40E14468" w:rsidR="0028526E" w:rsidRDefault="0028526E" w:rsidP="0092022F">
      <w:pPr>
        <w:jc w:val="both"/>
      </w:pPr>
      <w:r w:rsidRPr="0028526E">
        <w:t xml:space="preserve">The </w:t>
      </w:r>
      <w:r>
        <w:t>scheme</w:t>
      </w:r>
      <w:r w:rsidRPr="0028526E">
        <w:t xml:space="preserve"> </w:t>
      </w:r>
      <w:r w:rsidR="00DF134C">
        <w:t xml:space="preserve">is intended to encourage the </w:t>
      </w:r>
      <w:r w:rsidRPr="0028526E">
        <w:t>mak</w:t>
      </w:r>
      <w:r w:rsidR="00DF134C">
        <w:t>ing of</w:t>
      </w:r>
      <w:r w:rsidRPr="0028526E">
        <w:t xml:space="preserve"> large exhibitions in Flanders. </w:t>
      </w:r>
      <w:r w:rsidR="00FA42C3">
        <w:t>T</w:t>
      </w:r>
      <w:r w:rsidRPr="0028526E">
        <w:t>his is becoming increasingly difficult</w:t>
      </w:r>
      <w:r w:rsidR="00FA42C3">
        <w:t xml:space="preserve"> b</w:t>
      </w:r>
      <w:r w:rsidR="00FA42C3" w:rsidRPr="0028526E">
        <w:t>ecause of the high financial value of loans for th</w:t>
      </w:r>
      <w:r w:rsidR="00623ED0">
        <w:t>ese</w:t>
      </w:r>
      <w:r w:rsidR="00FA42C3" w:rsidRPr="0028526E">
        <w:t xml:space="preserve"> type</w:t>
      </w:r>
      <w:r w:rsidR="00FF45E4">
        <w:t>s</w:t>
      </w:r>
      <w:r w:rsidR="00FA42C3" w:rsidRPr="0028526E">
        <w:t xml:space="preserve"> of exhibitions and the increasing insurance costs</w:t>
      </w:r>
      <w:r w:rsidR="006E5850">
        <w:t>.</w:t>
      </w:r>
    </w:p>
    <w:p w14:paraId="0A8DBCC5" w14:textId="77777777" w:rsidR="009309DA" w:rsidRDefault="009309DA" w:rsidP="0092022F">
      <w:pPr>
        <w:jc w:val="both"/>
      </w:pPr>
    </w:p>
    <w:p w14:paraId="31324C11" w14:textId="1B308830" w:rsidR="0092022F" w:rsidRDefault="004D627D" w:rsidP="0092022F">
      <w:pPr>
        <w:jc w:val="both"/>
      </w:pPr>
      <w:r>
        <w:t xml:space="preserve">Only </w:t>
      </w:r>
      <w:r w:rsidR="00623ED0">
        <w:t>certain</w:t>
      </w:r>
      <w:r w:rsidR="00EF494B">
        <w:t xml:space="preserve"> </w:t>
      </w:r>
      <w:r w:rsidR="00C7253D">
        <w:t xml:space="preserve">cultural heritage collections </w:t>
      </w:r>
      <w:r w:rsidR="00A650D1">
        <w:t>an</w:t>
      </w:r>
      <w:r w:rsidR="00C7253D">
        <w:t>d university archives and libraries</w:t>
      </w:r>
      <w:r w:rsidR="00B37E40">
        <w:t xml:space="preserve"> (</w:t>
      </w:r>
      <w:r w:rsidR="00322712">
        <w:t xml:space="preserve">as referred to in Article 4 of the </w:t>
      </w:r>
      <w:r w:rsidR="00322712" w:rsidRPr="001615FB">
        <w:rPr>
          <w:bCs/>
        </w:rPr>
        <w:t>Indemnity Decree</w:t>
      </w:r>
      <w:r w:rsidR="00B37E40">
        <w:rPr>
          <w:bCs/>
        </w:rPr>
        <w:t>)</w:t>
      </w:r>
      <w:r>
        <w:t xml:space="preserve"> </w:t>
      </w:r>
      <w:r w:rsidR="00623ED0">
        <w:t xml:space="preserve">will qualify </w:t>
      </w:r>
      <w:r>
        <w:t>for indemnity under the scheme</w:t>
      </w:r>
      <w:r w:rsidR="00C7253D">
        <w:t xml:space="preserve">. </w:t>
      </w:r>
    </w:p>
    <w:p w14:paraId="75FFE6BE" w14:textId="75440473" w:rsidR="00C7253D" w:rsidRDefault="00C7253D" w:rsidP="0092022F">
      <w:pPr>
        <w:jc w:val="both"/>
      </w:pPr>
    </w:p>
    <w:p w14:paraId="1412E679" w14:textId="5DD836B2" w:rsidR="00593C8F" w:rsidRDefault="00C7253D" w:rsidP="0092022F">
      <w:pPr>
        <w:jc w:val="both"/>
      </w:pPr>
      <w:r>
        <w:t xml:space="preserve">However, certain conditions </w:t>
      </w:r>
      <w:r w:rsidR="005830C7">
        <w:t xml:space="preserve">are </w:t>
      </w:r>
      <w:r>
        <w:t>to be met in order to apply for the guarantee</w:t>
      </w:r>
      <w:r w:rsidR="00593C8F">
        <w:t>:</w:t>
      </w:r>
    </w:p>
    <w:p w14:paraId="2E4FE95B" w14:textId="77777777" w:rsidR="00762333" w:rsidRDefault="00762333" w:rsidP="0092022F">
      <w:pPr>
        <w:jc w:val="both"/>
      </w:pPr>
    </w:p>
    <w:p w14:paraId="36586B5D" w14:textId="09085D86" w:rsidR="00E11E08" w:rsidRDefault="004052A3" w:rsidP="001615FB">
      <w:pPr>
        <w:pStyle w:val="Lijstalinea"/>
        <w:numPr>
          <w:ilvl w:val="0"/>
          <w:numId w:val="1"/>
        </w:numPr>
        <w:jc w:val="both"/>
      </w:pPr>
      <w:r>
        <w:t xml:space="preserve">the exhibition must be organised within </w:t>
      </w:r>
      <w:r w:rsidR="00EB4F40">
        <w:t>the</w:t>
      </w:r>
      <w:r>
        <w:t xml:space="preserve"> own exhibition space</w:t>
      </w:r>
      <w:r w:rsidR="005830C7">
        <w:t xml:space="preserve"> </w:t>
      </w:r>
      <w:r w:rsidR="00EB4F40">
        <w:t>of the applicant organisation</w:t>
      </w:r>
      <w:r w:rsidR="00E11E08">
        <w:t xml:space="preserve">; </w:t>
      </w:r>
    </w:p>
    <w:p w14:paraId="5A028B2E" w14:textId="4D747A6E" w:rsidR="00762333" w:rsidRDefault="003A1699" w:rsidP="001615FB">
      <w:pPr>
        <w:pStyle w:val="Lijstalinea"/>
        <w:numPr>
          <w:ilvl w:val="0"/>
          <w:numId w:val="1"/>
        </w:numPr>
        <w:jc w:val="both"/>
      </w:pPr>
      <w:r>
        <w:t xml:space="preserve"> </w:t>
      </w:r>
      <w:r w:rsidR="00E11E08">
        <w:t xml:space="preserve">the </w:t>
      </w:r>
      <w:r w:rsidR="004052A3">
        <w:t>exhibition must contribute</w:t>
      </w:r>
      <w:r w:rsidR="00623ED0">
        <w:t xml:space="preserve"> </w:t>
      </w:r>
      <w:r w:rsidR="004052A3">
        <w:t xml:space="preserve">a large extent to </w:t>
      </w:r>
      <w:r w:rsidR="004E5F72">
        <w:t xml:space="preserve">(at least) </w:t>
      </w:r>
      <w:r w:rsidR="004052A3">
        <w:t>two of the following objectives: i) have an international influence on Flanders</w:t>
      </w:r>
      <w:r w:rsidR="00623ED0">
        <w:t>;</w:t>
      </w:r>
      <w:r w:rsidR="004052A3">
        <w:t xml:space="preserve"> ii) enrich the cultural heritage of Flanders; iii) </w:t>
      </w:r>
      <w:r w:rsidR="00773E3B">
        <w:t xml:space="preserve">promote scientific research; and iv) </w:t>
      </w:r>
      <w:r w:rsidR="00695D9B">
        <w:t xml:space="preserve">highlight </w:t>
      </w:r>
      <w:r w:rsidR="00773E3B">
        <w:t xml:space="preserve">the </w:t>
      </w:r>
      <w:r w:rsidR="00DC17A0">
        <w:t xml:space="preserve">international </w:t>
      </w:r>
      <w:r w:rsidR="00773E3B">
        <w:t xml:space="preserve">importance </w:t>
      </w:r>
      <w:r w:rsidR="00762333">
        <w:t>or signi</w:t>
      </w:r>
      <w:r w:rsidR="00EF494B">
        <w:t>fi</w:t>
      </w:r>
      <w:r w:rsidR="00762333">
        <w:t xml:space="preserve">cance </w:t>
      </w:r>
      <w:r w:rsidR="00773E3B">
        <w:t xml:space="preserve">of </w:t>
      </w:r>
      <w:r>
        <w:t>its</w:t>
      </w:r>
      <w:r w:rsidR="00773E3B">
        <w:t xml:space="preserve"> </w:t>
      </w:r>
      <w:r w:rsidR="00762333">
        <w:t xml:space="preserve">theme or </w:t>
      </w:r>
      <w:r w:rsidR="00773E3B">
        <w:t>subject</w:t>
      </w:r>
      <w:r w:rsidR="004425D6">
        <w:t>;</w:t>
      </w:r>
    </w:p>
    <w:p w14:paraId="4D6BB2AD" w14:textId="26139CD5" w:rsidR="00C7253D" w:rsidRDefault="003A1699" w:rsidP="001615FB">
      <w:pPr>
        <w:pStyle w:val="Lijstalinea"/>
        <w:numPr>
          <w:ilvl w:val="0"/>
          <w:numId w:val="1"/>
        </w:numPr>
        <w:jc w:val="both"/>
      </w:pPr>
      <w:r>
        <w:t>t</w:t>
      </w:r>
      <w:r w:rsidR="00773E3B">
        <w:t>he total value of the incoming loan</w:t>
      </w:r>
      <w:r w:rsidR="004425D6">
        <w:t>s</w:t>
      </w:r>
      <w:r w:rsidR="00773E3B">
        <w:t xml:space="preserve"> must be worth at least fifty million euros</w:t>
      </w:r>
      <w:r w:rsidR="008169F9">
        <w:t xml:space="preserve"> (excluding </w:t>
      </w:r>
      <w:r w:rsidR="003979C0">
        <w:t>loans from Flemish institutions)</w:t>
      </w:r>
      <w:r w:rsidR="004425D6">
        <w:t>;</w:t>
      </w:r>
      <w:r w:rsidR="00773E3B">
        <w:t xml:space="preserve"> </w:t>
      </w:r>
    </w:p>
    <w:p w14:paraId="5EE26620" w14:textId="62D172BF" w:rsidR="004D2394" w:rsidRDefault="000E7B68" w:rsidP="001615FB">
      <w:pPr>
        <w:pStyle w:val="Lijstalinea"/>
        <w:numPr>
          <w:ilvl w:val="0"/>
          <w:numId w:val="1"/>
        </w:numPr>
        <w:jc w:val="both"/>
      </w:pPr>
      <w:r>
        <w:t>t</w:t>
      </w:r>
      <w:r w:rsidR="00D26F4D">
        <w:t>he organisation must complete a risk analysis for the incoming loan</w:t>
      </w:r>
      <w:r w:rsidR="003979C0">
        <w:t>s</w:t>
      </w:r>
      <w:r w:rsidR="00D26F4D">
        <w:t xml:space="preserve"> and </w:t>
      </w:r>
      <w:r w:rsidR="007D3924">
        <w:t xml:space="preserve">premises hosting the exhibition. The analysis must address the security, protection, </w:t>
      </w:r>
      <w:r w:rsidR="00FE5036">
        <w:t xml:space="preserve">climate </w:t>
      </w:r>
      <w:r w:rsidR="007D3924">
        <w:t xml:space="preserve">and lighting </w:t>
      </w:r>
      <w:r w:rsidR="00FE5036">
        <w:t xml:space="preserve">conditions </w:t>
      </w:r>
      <w:r w:rsidR="002F579A">
        <w:t xml:space="preserve">that will </w:t>
      </w:r>
      <w:r w:rsidR="007D3924">
        <w:t>appl</w:t>
      </w:r>
      <w:r w:rsidR="002F579A">
        <w:t>y</w:t>
      </w:r>
      <w:r w:rsidR="007D3924">
        <w:t xml:space="preserve"> to the exhibition and incoming loan</w:t>
      </w:r>
      <w:r w:rsidR="002F579A">
        <w:t>s</w:t>
      </w:r>
      <w:r w:rsidR="007D3924">
        <w:t xml:space="preserve">. </w:t>
      </w:r>
      <w:r w:rsidR="00D36EA0">
        <w:t xml:space="preserve">The organisation </w:t>
      </w:r>
      <w:r w:rsidR="003A1699">
        <w:t xml:space="preserve">must </w:t>
      </w:r>
      <w:r w:rsidR="007C58CF">
        <w:t xml:space="preserve">also </w:t>
      </w:r>
      <w:r w:rsidR="00DF59A2">
        <w:t xml:space="preserve">indicate which </w:t>
      </w:r>
      <w:r w:rsidR="00D36EA0">
        <w:t xml:space="preserve">measures </w:t>
      </w:r>
      <w:r w:rsidR="00DF59A2">
        <w:t>it will take to implemen</w:t>
      </w:r>
      <w:r w:rsidR="00962256">
        <w:t>t</w:t>
      </w:r>
      <w:r w:rsidR="00DF59A2">
        <w:t xml:space="preserve"> </w:t>
      </w:r>
      <w:r w:rsidR="00D36EA0">
        <w:t>the risk analysis</w:t>
      </w:r>
      <w:r w:rsidR="004D2394">
        <w:t>;</w:t>
      </w:r>
    </w:p>
    <w:p w14:paraId="1EFDEEBA" w14:textId="042AC6D2" w:rsidR="000E7B68" w:rsidRDefault="004D2394" w:rsidP="004D2394">
      <w:pPr>
        <w:pStyle w:val="Lijstalinea"/>
        <w:numPr>
          <w:ilvl w:val="0"/>
          <w:numId w:val="1"/>
        </w:numPr>
        <w:jc w:val="both"/>
      </w:pPr>
      <w:r>
        <w:t>t</w:t>
      </w:r>
      <w:r w:rsidR="00D36EA0">
        <w:t xml:space="preserve">he organisation </w:t>
      </w:r>
      <w:r>
        <w:t>must</w:t>
      </w:r>
      <w:r w:rsidR="00D36EA0">
        <w:t xml:space="preserve"> submit a binding proposal from one or more insurance companies to cover the residual risk of the loan</w:t>
      </w:r>
      <w:r>
        <w:t>s</w:t>
      </w:r>
      <w:r w:rsidR="00D36EA0">
        <w:t xml:space="preserve"> under Flemish </w:t>
      </w:r>
      <w:r>
        <w:t>guarantee</w:t>
      </w:r>
      <w:r w:rsidR="00D36EA0">
        <w:t xml:space="preserve">. </w:t>
      </w:r>
    </w:p>
    <w:p w14:paraId="66A0FCE8" w14:textId="77777777" w:rsidR="000E7B68" w:rsidRDefault="000E7B68" w:rsidP="001615FB">
      <w:pPr>
        <w:pStyle w:val="Lijstalinea"/>
        <w:jc w:val="both"/>
      </w:pPr>
    </w:p>
    <w:p w14:paraId="41508331" w14:textId="61693C7C" w:rsidR="00D26F4D" w:rsidRDefault="00D36EA0" w:rsidP="000E7B68">
      <w:pPr>
        <w:jc w:val="both"/>
      </w:pPr>
      <w:r>
        <w:t xml:space="preserve">However, no </w:t>
      </w:r>
      <w:r w:rsidR="00B37E40">
        <w:t xml:space="preserve">indemnity </w:t>
      </w:r>
      <w:r w:rsidR="003A1699">
        <w:t>will be</w:t>
      </w:r>
      <w:r>
        <w:t xml:space="preserve"> granted for </w:t>
      </w:r>
      <w:r w:rsidR="003A1699">
        <w:t>exhibition</w:t>
      </w:r>
      <w:r w:rsidR="00ED746F">
        <w:t>s</w:t>
      </w:r>
      <w:r>
        <w:t xml:space="preserve"> </w:t>
      </w:r>
      <w:r w:rsidR="00ED746F">
        <w:t xml:space="preserve">held </w:t>
      </w:r>
      <w:r>
        <w:t xml:space="preserve">outdoors </w:t>
      </w:r>
      <w:r w:rsidR="001E56A0">
        <w:t>n</w:t>
      </w:r>
      <w:r>
        <w:t xml:space="preserve">or </w:t>
      </w:r>
      <w:r w:rsidR="001E56A0">
        <w:t xml:space="preserve">for </w:t>
      </w:r>
      <w:r>
        <w:t xml:space="preserve">loans belonging to </w:t>
      </w:r>
      <w:r w:rsidR="003A1699">
        <w:t xml:space="preserve">an </w:t>
      </w:r>
      <w:r>
        <w:t xml:space="preserve">organisation referred to in Article 4 of the </w:t>
      </w:r>
      <w:r w:rsidR="00322712" w:rsidRPr="001615FB">
        <w:rPr>
          <w:bCs/>
        </w:rPr>
        <w:t>Indemnity</w:t>
      </w:r>
      <w:r w:rsidR="00322712" w:rsidRPr="001008B5">
        <w:rPr>
          <w:b/>
        </w:rPr>
        <w:t xml:space="preserve"> </w:t>
      </w:r>
      <w:r>
        <w:t xml:space="preserve">Decree. </w:t>
      </w:r>
    </w:p>
    <w:p w14:paraId="2482032A" w14:textId="2AC0246C" w:rsidR="00CE0AC3" w:rsidRDefault="00CE0AC3" w:rsidP="0092022F">
      <w:pPr>
        <w:jc w:val="both"/>
      </w:pPr>
    </w:p>
    <w:p w14:paraId="2842059F" w14:textId="684699BD" w:rsidR="00CE0AC3" w:rsidRPr="003A1699" w:rsidRDefault="00CE0AC3" w:rsidP="0092022F">
      <w:pPr>
        <w:jc w:val="both"/>
      </w:pPr>
      <w:r>
        <w:t xml:space="preserve">The guarantee </w:t>
      </w:r>
      <w:r w:rsidR="00F7700B">
        <w:t xml:space="preserve">applies from nail to nail and </w:t>
      </w:r>
      <w:r>
        <w:t>will cover</w:t>
      </w:r>
      <w:r w:rsidR="00816457">
        <w:t xml:space="preserve"> the first</w:t>
      </w:r>
      <w:r>
        <w:t xml:space="preserve"> risk</w:t>
      </w:r>
      <w:r w:rsidR="00816457">
        <w:tab/>
      </w:r>
      <w:r>
        <w:t>up to a maximum of fifty per cent of the total value of the loan</w:t>
      </w:r>
      <w:r w:rsidR="00816457">
        <w:t>s</w:t>
      </w:r>
      <w:r>
        <w:t xml:space="preserve"> covered by it, less the deductible, the amount which </w:t>
      </w:r>
      <w:r w:rsidR="00BE328D">
        <w:t>will be</w:t>
      </w:r>
      <w:r>
        <w:t xml:space="preserve"> de</w:t>
      </w:r>
      <w:r w:rsidR="00BE328D">
        <w:t>termined</w:t>
      </w:r>
      <w:r>
        <w:t xml:space="preserve"> by the Flemish Government. </w:t>
      </w:r>
      <w:r w:rsidR="006227B9">
        <w:t xml:space="preserve">The guarantee </w:t>
      </w:r>
      <w:r w:rsidR="009945C9">
        <w:t xml:space="preserve">is dependent on </w:t>
      </w:r>
      <w:r w:rsidR="006227B9">
        <w:t xml:space="preserve">the insurance taken out by the organisation </w:t>
      </w:r>
      <w:r w:rsidR="006227B9" w:rsidRPr="003A1699">
        <w:t>cover</w:t>
      </w:r>
      <w:r w:rsidR="00560771">
        <w:t>ing</w:t>
      </w:r>
      <w:r w:rsidR="006227B9" w:rsidRPr="003A1699">
        <w:t xml:space="preserve"> the residual risk of the loan</w:t>
      </w:r>
      <w:r w:rsidR="00560771">
        <w:t>s</w:t>
      </w:r>
      <w:r w:rsidR="006227B9" w:rsidRPr="003A1699">
        <w:t xml:space="preserve"> guaranteed by the Flemish Community. </w:t>
      </w:r>
      <w:r w:rsidR="00855570" w:rsidRPr="003A1699">
        <w:t xml:space="preserve">The guarantee </w:t>
      </w:r>
      <w:r w:rsidR="00A5189D">
        <w:t>starts at the earliest</w:t>
      </w:r>
      <w:r w:rsidR="00855570" w:rsidRPr="003A1699">
        <w:t xml:space="preserve"> four months before the exhibition</w:t>
      </w:r>
      <w:r w:rsidR="003A1699" w:rsidRPr="003A1699">
        <w:t xml:space="preserve"> starts</w:t>
      </w:r>
      <w:r w:rsidR="00855570" w:rsidRPr="003A1699">
        <w:t xml:space="preserve"> and </w:t>
      </w:r>
      <w:r w:rsidR="00855570" w:rsidRPr="003A1699">
        <w:lastRenderedPageBreak/>
        <w:t xml:space="preserve">expires </w:t>
      </w:r>
      <w:r w:rsidR="00A5189D">
        <w:t xml:space="preserve">at the latest </w:t>
      </w:r>
      <w:r w:rsidR="00855570" w:rsidRPr="003A1699">
        <w:t xml:space="preserve">four months after the exhibition is over, or for longer by reasonable request to the Flemish Government. </w:t>
      </w:r>
      <w:r w:rsidR="00FC3A98" w:rsidRPr="003A1699">
        <w:t xml:space="preserve">The total </w:t>
      </w:r>
      <w:r w:rsidR="00F13E6D">
        <w:t xml:space="preserve">annual </w:t>
      </w:r>
      <w:r w:rsidR="00FC3A98" w:rsidRPr="003A1699">
        <w:t>budget that is granted by the Flemish Government is €1,200,000,000</w:t>
      </w:r>
      <w:r w:rsidR="00DA5EFF">
        <w:t xml:space="preserve"> </w:t>
      </w:r>
      <w:r w:rsidR="00983A8D">
        <w:t>provided that t</w:t>
      </w:r>
      <w:r w:rsidR="00DA5EFF">
        <w:t xml:space="preserve">he total </w:t>
      </w:r>
      <w:r w:rsidR="00654CA2">
        <w:t xml:space="preserve">outstanding </w:t>
      </w:r>
      <w:r w:rsidR="00DA5EFF">
        <w:t xml:space="preserve">risk </w:t>
      </w:r>
      <w:r w:rsidR="00654CA2">
        <w:t>for the Fl</w:t>
      </w:r>
      <w:r w:rsidR="00983A8D">
        <w:t>e</w:t>
      </w:r>
      <w:r w:rsidR="00654CA2">
        <w:t>mi</w:t>
      </w:r>
      <w:r w:rsidR="00983A8D">
        <w:t>s</w:t>
      </w:r>
      <w:r w:rsidR="00654CA2">
        <w:t xml:space="preserve">h government </w:t>
      </w:r>
      <w:r w:rsidR="00DA5EFF">
        <w:t>m</w:t>
      </w:r>
      <w:r w:rsidR="00654CA2">
        <w:t>a</w:t>
      </w:r>
      <w:r w:rsidR="00DA5EFF">
        <w:t xml:space="preserve">y never exceed </w:t>
      </w:r>
      <w:r w:rsidR="00654CA2">
        <w:t>60</w:t>
      </w:r>
      <w:r w:rsidR="00DA5EFF">
        <w:t>0 million EUR</w:t>
      </w:r>
      <w:r w:rsidR="00DD1E32">
        <w:t xml:space="preserve"> </w:t>
      </w:r>
      <w:r w:rsidR="00B37E40">
        <w:t xml:space="preserve">at any time </w:t>
      </w:r>
      <w:r w:rsidR="00DD1E32">
        <w:t>(subject to annual indexation)</w:t>
      </w:r>
      <w:r w:rsidR="00FC3A98" w:rsidRPr="003A1699">
        <w:t xml:space="preserve">. </w:t>
      </w:r>
    </w:p>
    <w:p w14:paraId="73C6EADA" w14:textId="312C9532" w:rsidR="006227B9" w:rsidRPr="003A1699" w:rsidRDefault="006227B9" w:rsidP="0092022F">
      <w:pPr>
        <w:jc w:val="both"/>
      </w:pPr>
    </w:p>
    <w:p w14:paraId="27C51669" w14:textId="0E142905" w:rsidR="008309C8" w:rsidRDefault="00DD1E32" w:rsidP="003A1699">
      <w:pPr>
        <w:jc w:val="both"/>
        <w:rPr>
          <w:rFonts w:ascii="Calibri" w:hAnsi="Calibri" w:cs="Calibri"/>
        </w:rPr>
      </w:pPr>
      <w:r>
        <w:rPr>
          <w:rFonts w:ascii="Calibri" w:hAnsi="Calibri" w:cs="Calibri"/>
        </w:rPr>
        <w:t>An</w:t>
      </w:r>
      <w:r w:rsidR="009A1A6B">
        <w:rPr>
          <w:rFonts w:ascii="Calibri" w:hAnsi="Calibri" w:cs="Calibri"/>
        </w:rPr>
        <w:t xml:space="preserve"> application for </w:t>
      </w:r>
      <w:r>
        <w:rPr>
          <w:rFonts w:ascii="Calibri" w:hAnsi="Calibri" w:cs="Calibri"/>
        </w:rPr>
        <w:t>indemnity</w:t>
      </w:r>
      <w:r w:rsidR="00BF1EFE" w:rsidRPr="003A1699">
        <w:rPr>
          <w:rFonts w:ascii="Calibri" w:hAnsi="Calibri" w:cs="Calibri"/>
        </w:rPr>
        <w:t xml:space="preserve"> </w:t>
      </w:r>
      <w:r w:rsidR="00FC3A98" w:rsidRPr="003A1699">
        <w:rPr>
          <w:rFonts w:ascii="Calibri" w:hAnsi="Calibri" w:cs="Calibri"/>
        </w:rPr>
        <w:t xml:space="preserve">must be </w:t>
      </w:r>
      <w:r>
        <w:rPr>
          <w:rFonts w:ascii="Calibri" w:hAnsi="Calibri" w:cs="Calibri"/>
        </w:rPr>
        <w:t xml:space="preserve">filed with </w:t>
      </w:r>
      <w:r w:rsidR="00FC3A98" w:rsidRPr="003A1699">
        <w:rPr>
          <w:rFonts w:ascii="Calibri" w:hAnsi="Calibri" w:cs="Calibri"/>
        </w:rPr>
        <w:t>the Flemish Government no later than three months before the exhibition commences</w:t>
      </w:r>
      <w:r w:rsidR="009A1A6B">
        <w:rPr>
          <w:rFonts w:ascii="Calibri" w:hAnsi="Calibri" w:cs="Calibri"/>
        </w:rPr>
        <w:t xml:space="preserve"> (at the ear</w:t>
      </w:r>
      <w:r w:rsidR="0087095F">
        <w:rPr>
          <w:rFonts w:ascii="Calibri" w:hAnsi="Calibri" w:cs="Calibri"/>
        </w:rPr>
        <w:t>l</w:t>
      </w:r>
      <w:r w:rsidR="009A1A6B">
        <w:rPr>
          <w:rFonts w:ascii="Calibri" w:hAnsi="Calibri" w:cs="Calibri"/>
        </w:rPr>
        <w:t>iest t</w:t>
      </w:r>
      <w:r w:rsidR="0087095F">
        <w:rPr>
          <w:rFonts w:ascii="Calibri" w:hAnsi="Calibri" w:cs="Calibri"/>
        </w:rPr>
        <w:t>w</w:t>
      </w:r>
      <w:r w:rsidR="009A1A6B">
        <w:rPr>
          <w:rFonts w:ascii="Calibri" w:hAnsi="Calibri" w:cs="Calibri"/>
        </w:rPr>
        <w:t>o years before)</w:t>
      </w:r>
      <w:r w:rsidR="00FC3A98" w:rsidRPr="003A1699">
        <w:rPr>
          <w:rFonts w:ascii="Calibri" w:hAnsi="Calibri" w:cs="Calibri"/>
        </w:rPr>
        <w:t xml:space="preserve">. </w:t>
      </w:r>
    </w:p>
    <w:p w14:paraId="5526305B" w14:textId="77777777" w:rsidR="008309C8" w:rsidRDefault="008309C8" w:rsidP="003A1699">
      <w:pPr>
        <w:jc w:val="both"/>
        <w:rPr>
          <w:rFonts w:ascii="Calibri" w:hAnsi="Calibri" w:cs="Calibri"/>
        </w:rPr>
      </w:pPr>
    </w:p>
    <w:p w14:paraId="77C7A5AA" w14:textId="020D40BB" w:rsidR="00DD7A09" w:rsidRDefault="005A2BB8" w:rsidP="003A1699">
      <w:pPr>
        <w:jc w:val="both"/>
      </w:pPr>
      <w:r>
        <w:t xml:space="preserve">The Indemnity Decree includes </w:t>
      </w:r>
      <w:r w:rsidR="00993D55">
        <w:t xml:space="preserve">instructions </w:t>
      </w:r>
      <w:r w:rsidR="00962256">
        <w:t xml:space="preserve">of </w:t>
      </w:r>
      <w:r w:rsidR="00993D55">
        <w:t xml:space="preserve">what </w:t>
      </w:r>
      <w:r w:rsidR="00385B28">
        <w:t xml:space="preserve">action </w:t>
      </w:r>
      <w:r w:rsidR="00993D55">
        <w:t xml:space="preserve">needs to be </w:t>
      </w:r>
      <w:r w:rsidR="00F13E67">
        <w:t xml:space="preserve">undertaken </w:t>
      </w:r>
      <w:r>
        <w:t>i</w:t>
      </w:r>
      <w:r w:rsidR="00BF1EFE" w:rsidRPr="003A1699">
        <w:t xml:space="preserve">n the event of damage </w:t>
      </w:r>
      <w:r w:rsidR="00DD7A09">
        <w:t xml:space="preserve">or </w:t>
      </w:r>
      <w:r w:rsidR="00BF1EFE" w:rsidRPr="003A1699">
        <w:t>theft</w:t>
      </w:r>
      <w:r w:rsidR="00DD7A09">
        <w:t xml:space="preserve"> or</w:t>
      </w:r>
      <w:r w:rsidR="00BF1EFE" w:rsidRPr="003A1699">
        <w:t xml:space="preserve"> loss</w:t>
      </w:r>
      <w:r w:rsidR="00F13E67">
        <w:t xml:space="preserve">, and </w:t>
      </w:r>
      <w:r w:rsidR="00644C2E">
        <w:t xml:space="preserve">requires </w:t>
      </w:r>
      <w:r w:rsidR="00F13E67">
        <w:t>a condition report</w:t>
      </w:r>
      <w:r w:rsidR="00644C2E">
        <w:t xml:space="preserve"> to be</w:t>
      </w:r>
      <w:r w:rsidR="00DA3E89">
        <w:t xml:space="preserve"> </w:t>
      </w:r>
      <w:r w:rsidR="00644C2E">
        <w:t>dr</w:t>
      </w:r>
      <w:r w:rsidR="00DA3E89">
        <w:t>a</w:t>
      </w:r>
      <w:r w:rsidR="00644C2E">
        <w:t xml:space="preserve">wn up at the start and </w:t>
      </w:r>
      <w:r w:rsidR="00962256">
        <w:t xml:space="preserve">at </w:t>
      </w:r>
      <w:r w:rsidR="00644C2E">
        <w:t xml:space="preserve">the end of each loan. </w:t>
      </w:r>
      <w:r w:rsidR="00A83A80">
        <w:t>It expressly provides that t</w:t>
      </w:r>
      <w:r w:rsidR="001B665B">
        <w:t>he</w:t>
      </w:r>
      <w:r w:rsidR="000F6C60">
        <w:t xml:space="preserve"> Flemish government will not </w:t>
      </w:r>
      <w:r w:rsidR="001B665B">
        <w:t>waiv</w:t>
      </w:r>
      <w:r w:rsidR="00A83A80">
        <w:t>e</w:t>
      </w:r>
      <w:r w:rsidR="001B665B">
        <w:t xml:space="preserve"> </w:t>
      </w:r>
      <w:r w:rsidR="000F6C60">
        <w:t xml:space="preserve">its </w:t>
      </w:r>
      <w:r w:rsidR="001B665B">
        <w:t xml:space="preserve">subrogation </w:t>
      </w:r>
      <w:r w:rsidR="000F6C60">
        <w:t xml:space="preserve">right </w:t>
      </w:r>
      <w:r w:rsidR="00DA3E89">
        <w:t>in case of gross negligence or wilful misconduct.</w:t>
      </w:r>
    </w:p>
    <w:p w14:paraId="18A04F7D" w14:textId="77777777" w:rsidR="007207DD" w:rsidRDefault="007207DD" w:rsidP="003A1699">
      <w:pPr>
        <w:jc w:val="both"/>
      </w:pPr>
    </w:p>
    <w:p w14:paraId="2E17A2EA" w14:textId="3364C4B9" w:rsidR="00186332" w:rsidRPr="003A1699" w:rsidRDefault="00186332" w:rsidP="003A1699">
      <w:pPr>
        <w:jc w:val="both"/>
        <w:rPr>
          <w:rFonts w:ascii="Calibri" w:hAnsi="Calibri" w:cs="Calibri"/>
        </w:rPr>
      </w:pPr>
      <w:r w:rsidRPr="003A1699">
        <w:t>T</w:t>
      </w:r>
      <w:r w:rsidR="008F3CC1" w:rsidRPr="003A1699">
        <w:t>he guarantee is considered as State aid within the meaning of Article 107 of the Treaty on the Functioning of the European Union. The aid is granted within the limits and under the conditions referred to in the general block exemption regulation.</w:t>
      </w:r>
      <w:r w:rsidR="00996C0F">
        <w:rPr>
          <w:rStyle w:val="Voetnootmarkering"/>
        </w:rPr>
        <w:footnoteReference w:id="2"/>
      </w:r>
      <w:r w:rsidR="003A1699">
        <w:t xml:space="preserve"> </w:t>
      </w:r>
      <w:r w:rsidR="008F3CC1" w:rsidRPr="003A1699">
        <w:t xml:space="preserve">In accordance with the regulation, </w:t>
      </w:r>
      <w:r w:rsidR="00490068">
        <w:t>certain</w:t>
      </w:r>
      <w:r w:rsidR="008F3CC1" w:rsidRPr="003A1699">
        <w:t xml:space="preserve"> organi</w:t>
      </w:r>
      <w:r w:rsidRPr="003A1699">
        <w:t>s</w:t>
      </w:r>
      <w:r w:rsidR="008F3CC1" w:rsidRPr="003A1699">
        <w:t>ations are not eligible for the guarantee</w:t>
      </w:r>
      <w:r w:rsidRPr="003A1699">
        <w:t xml:space="preserve"> including organisations subject to a recovery order and </w:t>
      </w:r>
      <w:r w:rsidR="00490068">
        <w:t xml:space="preserve">or </w:t>
      </w:r>
      <w:r w:rsidRPr="003A1699">
        <w:t xml:space="preserve">a company in difficulty as referred to in Article 2, 18 of the aforementioned regulation. </w:t>
      </w:r>
    </w:p>
    <w:p w14:paraId="1814ED90" w14:textId="4B9E8E55" w:rsidR="00BF1EFE" w:rsidRDefault="00BF1EFE" w:rsidP="0092022F">
      <w:pPr>
        <w:jc w:val="both"/>
      </w:pPr>
    </w:p>
    <w:p w14:paraId="15BBB57A" w14:textId="58C01EE4" w:rsidR="000F13B8" w:rsidRDefault="00B06712" w:rsidP="0092022F">
      <w:pPr>
        <w:jc w:val="both"/>
      </w:pPr>
      <w:r>
        <w:t>In order to respect the interests of private lenders, o</w:t>
      </w:r>
      <w:r w:rsidR="00C70DCF">
        <w:t>fficers handling indemnity req</w:t>
      </w:r>
      <w:r w:rsidR="009D4A3D">
        <w:t>uests</w:t>
      </w:r>
      <w:r w:rsidR="00C70DCF">
        <w:t xml:space="preserve"> </w:t>
      </w:r>
      <w:r w:rsidR="00174313">
        <w:t xml:space="preserve">and claims </w:t>
      </w:r>
      <w:r w:rsidR="00C70DCF">
        <w:t>are boun</w:t>
      </w:r>
      <w:r w:rsidR="00595AE4">
        <w:t>d</w:t>
      </w:r>
      <w:r w:rsidR="00C70DCF">
        <w:t xml:space="preserve"> by a </w:t>
      </w:r>
      <w:r w:rsidR="00996C0F">
        <w:t xml:space="preserve">confidentiality </w:t>
      </w:r>
      <w:r w:rsidR="000F13B8">
        <w:t>obligation</w:t>
      </w:r>
      <w:r w:rsidR="00C70DCF">
        <w:t xml:space="preserve"> </w:t>
      </w:r>
      <w:r w:rsidR="00595AE4">
        <w:t xml:space="preserve">with respect to the </w:t>
      </w:r>
      <w:r w:rsidR="005E4B1C">
        <w:t>ownership status and the situation of incoming loans</w:t>
      </w:r>
      <w:r w:rsidR="00996C0F">
        <w:t>.</w:t>
      </w:r>
      <w:r>
        <w:t xml:space="preserve"> </w:t>
      </w:r>
      <w:r w:rsidR="00996C0F">
        <w:t xml:space="preserve">A </w:t>
      </w:r>
      <w:r w:rsidR="00F528A5">
        <w:t>number of pro</w:t>
      </w:r>
      <w:r w:rsidR="009D4A3D">
        <w:t>v</w:t>
      </w:r>
      <w:r w:rsidR="00F528A5">
        <w:t xml:space="preserve">isions </w:t>
      </w:r>
      <w:r w:rsidR="00996C0F">
        <w:t xml:space="preserve">within the Indemnity Decree set out </w:t>
      </w:r>
      <w:r w:rsidR="009D4A3D">
        <w:t>the particulars for processing personal data in accordance with GDPR regulations.</w:t>
      </w:r>
    </w:p>
    <w:p w14:paraId="39B5907D" w14:textId="77777777" w:rsidR="00B06712" w:rsidRDefault="00B06712" w:rsidP="0092022F">
      <w:pPr>
        <w:jc w:val="both"/>
      </w:pPr>
    </w:p>
    <w:p w14:paraId="02556717" w14:textId="476B7247" w:rsidR="00EF494B" w:rsidRDefault="00EF494B" w:rsidP="00EF494B">
      <w:pPr>
        <w:jc w:val="both"/>
      </w:pPr>
      <w:r>
        <w:t>No date has yet been set for the entry into force of the Indemnity Decree.</w:t>
      </w:r>
    </w:p>
    <w:p w14:paraId="2160A19E" w14:textId="77777777" w:rsidR="00EF494B" w:rsidRDefault="00EF494B" w:rsidP="00EF494B">
      <w:pPr>
        <w:jc w:val="both"/>
      </w:pPr>
    </w:p>
    <w:p w14:paraId="5EDCB1F9" w14:textId="77777777" w:rsidR="00D54297" w:rsidRDefault="00D54297" w:rsidP="00D54297">
      <w:pPr>
        <w:tabs>
          <w:tab w:val="right" w:pos="10348"/>
        </w:tabs>
        <w:spacing w:line="360" w:lineRule="auto"/>
        <w:jc w:val="center"/>
        <w:rPr>
          <w:rFonts w:ascii="Helvetica" w:hAnsi="Helvetica" w:cs="Helvetica"/>
          <w:i/>
          <w:iCs/>
          <w:color w:val="C00000"/>
          <w:sz w:val="20"/>
          <w:szCs w:val="20"/>
        </w:rPr>
      </w:pPr>
      <w:r>
        <w:rPr>
          <w:rFonts w:ascii="Helvetica" w:hAnsi="Helvetica" w:cs="Helvetica"/>
          <w:i/>
          <w:iCs/>
          <w:color w:val="C00000"/>
          <w:sz w:val="20"/>
          <w:szCs w:val="20"/>
        </w:rPr>
        <w:t xml:space="preserve">This newsflash is offered by way of general information ; its content does not constitute and may not be considered as legal advice. For more information on the subject  please contact us at </w:t>
      </w:r>
      <w:hyperlink r:id="rId8" w:history="1">
        <w:r>
          <w:rPr>
            <w:rStyle w:val="Hyperlink"/>
            <w:rFonts w:ascii="Helvetica" w:hAnsi="Helvetica" w:cs="Helvetica"/>
            <w:i/>
            <w:iCs/>
            <w:sz w:val="20"/>
            <w:szCs w:val="20"/>
          </w:rPr>
          <w:t>info@lambrechtlaw.be</w:t>
        </w:r>
      </w:hyperlink>
      <w:r>
        <w:rPr>
          <w:rFonts w:ascii="Helvetica" w:hAnsi="Helvetica" w:cs="Helvetica"/>
          <w:i/>
          <w:iCs/>
          <w:color w:val="C00000"/>
          <w:sz w:val="20"/>
          <w:szCs w:val="20"/>
        </w:rPr>
        <w:t>.</w:t>
      </w:r>
    </w:p>
    <w:p w14:paraId="53A480BC" w14:textId="77777777" w:rsidR="00D54297" w:rsidRDefault="00D54297" w:rsidP="00D54297">
      <w:pPr>
        <w:jc w:val="both"/>
        <w:rPr>
          <w:rFonts w:ascii="Arial" w:hAnsi="Arial" w:cs="Arial"/>
          <w:b/>
          <w:bCs/>
        </w:rPr>
      </w:pPr>
    </w:p>
    <w:p w14:paraId="4B3A2135" w14:textId="1ABCD82A" w:rsidR="00B06712" w:rsidRDefault="00B06712" w:rsidP="008E3D88">
      <w:pPr>
        <w:jc w:val="both"/>
      </w:pPr>
    </w:p>
    <w:sectPr w:rsidR="00B067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A4E6C" w14:textId="77777777" w:rsidR="004470DA" w:rsidRDefault="004470DA" w:rsidP="00996C0F">
      <w:r>
        <w:separator/>
      </w:r>
    </w:p>
  </w:endnote>
  <w:endnote w:type="continuationSeparator" w:id="0">
    <w:p w14:paraId="4BC62223" w14:textId="77777777" w:rsidR="004470DA" w:rsidRDefault="004470DA" w:rsidP="0099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3708" w14:textId="77777777" w:rsidR="004470DA" w:rsidRDefault="004470DA" w:rsidP="00996C0F">
      <w:r>
        <w:separator/>
      </w:r>
    </w:p>
  </w:footnote>
  <w:footnote w:type="continuationSeparator" w:id="0">
    <w:p w14:paraId="522366BC" w14:textId="77777777" w:rsidR="004470DA" w:rsidRDefault="004470DA" w:rsidP="00996C0F">
      <w:r>
        <w:continuationSeparator/>
      </w:r>
    </w:p>
  </w:footnote>
  <w:footnote w:id="1">
    <w:p w14:paraId="7B99860A" w14:textId="4A7F97A3" w:rsidR="00150D53" w:rsidRPr="00043E8D" w:rsidRDefault="00150D53" w:rsidP="00150D53">
      <w:pPr>
        <w:shd w:val="clear" w:color="auto" w:fill="FFFFFF"/>
        <w:jc w:val="both"/>
        <w:rPr>
          <w:rFonts w:ascii="Arial" w:eastAsia="Times New Roman" w:hAnsi="Arial" w:cs="Arial"/>
          <w:sz w:val="20"/>
          <w:szCs w:val="20"/>
          <w:lang w:val="en-IE" w:eastAsia="en-GB"/>
        </w:rPr>
      </w:pPr>
      <w:r w:rsidRPr="001615FB">
        <w:rPr>
          <w:rStyle w:val="Voetnootmarkering"/>
          <w:sz w:val="20"/>
          <w:szCs w:val="20"/>
        </w:rPr>
        <w:footnoteRef/>
      </w:r>
      <w:r w:rsidRPr="001615FB">
        <w:rPr>
          <w:sz w:val="20"/>
          <w:szCs w:val="20"/>
          <w:lang w:val="nl-NL"/>
        </w:rPr>
        <w:t xml:space="preserve"> </w:t>
      </w:r>
      <w:r w:rsidR="006D325E" w:rsidRPr="00043E8D">
        <w:rPr>
          <w:sz w:val="20"/>
          <w:szCs w:val="20"/>
          <w:lang w:val="nl-NL"/>
        </w:rPr>
        <w:t>D</w:t>
      </w:r>
      <w:r w:rsidR="006D325E" w:rsidRPr="00043E8D">
        <w:rPr>
          <w:rStyle w:val="Hyperlink"/>
          <w:color w:val="auto"/>
          <w:sz w:val="20"/>
          <w:szCs w:val="20"/>
          <w:u w:val="none"/>
          <w:lang w:val="nl-NL"/>
        </w:rPr>
        <w:t xml:space="preserve">ecreet </w:t>
      </w:r>
      <w:r w:rsidR="0096376B" w:rsidRPr="00043E8D">
        <w:rPr>
          <w:rStyle w:val="Hyperlink"/>
          <w:color w:val="auto"/>
          <w:sz w:val="20"/>
          <w:szCs w:val="20"/>
          <w:u w:val="none"/>
          <w:lang w:val="nl-NL"/>
        </w:rPr>
        <w:t xml:space="preserve">van 21 januari 2022 </w:t>
      </w:r>
      <w:r w:rsidR="006D325E" w:rsidRPr="00043E8D">
        <w:rPr>
          <w:rStyle w:val="Hyperlink"/>
          <w:color w:val="auto"/>
          <w:sz w:val="20"/>
          <w:szCs w:val="20"/>
          <w:u w:val="none"/>
          <w:lang w:val="nl-NL"/>
        </w:rPr>
        <w:t>tot invoering van een waarborg bij inkomende </w:t>
      </w:r>
      <w:bookmarkStart w:id="0" w:name="hit1"/>
      <w:bookmarkEnd w:id="0"/>
      <w:r w:rsidR="006D325E" w:rsidRPr="00043E8D">
        <w:rPr>
          <w:rStyle w:val="Hyperlink"/>
          <w:color w:val="auto"/>
          <w:sz w:val="20"/>
          <w:szCs w:val="20"/>
          <w:u w:val="none"/>
          <w:lang w:val="nl-NL"/>
        </w:rPr>
        <w:t>bruiklenen voor tijdelijke tentoonstellingen</w:t>
      </w:r>
      <w:r w:rsidR="003D280E" w:rsidRPr="00043E8D">
        <w:rPr>
          <w:rStyle w:val="Hyperlink"/>
          <w:color w:val="auto"/>
          <w:sz w:val="20"/>
          <w:szCs w:val="20"/>
          <w:u w:val="none"/>
          <w:lang w:val="nl-NL"/>
        </w:rPr>
        <w:t xml:space="preserve">, </w:t>
      </w:r>
      <w:r w:rsidR="003D280E" w:rsidRPr="00043E8D">
        <w:rPr>
          <w:rStyle w:val="Hyperlink"/>
          <w:i/>
          <w:iCs/>
          <w:color w:val="auto"/>
          <w:sz w:val="20"/>
          <w:szCs w:val="20"/>
          <w:u w:val="none"/>
          <w:lang w:val="nl-NL"/>
        </w:rPr>
        <w:t>B.St.</w:t>
      </w:r>
      <w:r w:rsidR="004F379A" w:rsidRPr="004F379A">
        <w:rPr>
          <w:rStyle w:val="Hyperlink"/>
          <w:color w:val="auto"/>
          <w:sz w:val="20"/>
          <w:szCs w:val="20"/>
          <w:u w:val="none"/>
          <w:lang w:val="nl-NL"/>
        </w:rPr>
        <w:t xml:space="preserve">, </w:t>
      </w:r>
      <w:r w:rsidR="003D280E" w:rsidRPr="00043E8D">
        <w:rPr>
          <w:rStyle w:val="Hyperlink"/>
          <w:color w:val="auto"/>
          <w:sz w:val="20"/>
          <w:szCs w:val="20"/>
          <w:u w:val="none"/>
          <w:lang w:val="nl-NL"/>
        </w:rPr>
        <w:t>10-03-2022</w:t>
      </w:r>
      <w:r w:rsidR="0096376B" w:rsidRPr="00043E8D">
        <w:rPr>
          <w:rStyle w:val="Hyperlink"/>
          <w:color w:val="auto"/>
          <w:sz w:val="20"/>
          <w:szCs w:val="20"/>
          <w:u w:val="none"/>
          <w:lang w:val="nl-NL"/>
        </w:rPr>
        <w:t xml:space="preserve"> (in English: </w:t>
      </w:r>
      <w:hyperlink r:id="rId1" w:history="1">
        <w:r w:rsidRPr="00043E8D">
          <w:rPr>
            <w:rStyle w:val="Hyperlink"/>
            <w:i/>
            <w:iCs/>
            <w:color w:val="auto"/>
            <w:sz w:val="20"/>
            <w:szCs w:val="20"/>
            <w:u w:val="none"/>
          </w:rPr>
          <w:t xml:space="preserve">Flemish Decree </w:t>
        </w:r>
        <w:r w:rsidR="00B16363" w:rsidRPr="00043E8D">
          <w:rPr>
            <w:rStyle w:val="Hyperlink"/>
            <w:i/>
            <w:iCs/>
            <w:color w:val="auto"/>
            <w:sz w:val="20"/>
            <w:szCs w:val="20"/>
            <w:u w:val="none"/>
          </w:rPr>
          <w:t xml:space="preserve">of 21 January 2022 </w:t>
        </w:r>
        <w:r w:rsidRPr="00043E8D">
          <w:rPr>
            <w:rStyle w:val="Hyperlink"/>
            <w:i/>
            <w:iCs/>
            <w:color w:val="auto"/>
            <w:sz w:val="20"/>
            <w:szCs w:val="20"/>
            <w:u w:val="none"/>
          </w:rPr>
          <w:t>on the indemnity for incoming loans of artworks for temporary exhibitions</w:t>
        </w:r>
        <w:r w:rsidR="0096376B" w:rsidRPr="00043E8D">
          <w:rPr>
            <w:rStyle w:val="Hyperlink"/>
            <w:color w:val="auto"/>
            <w:sz w:val="20"/>
            <w:szCs w:val="20"/>
            <w:u w:val="none"/>
          </w:rPr>
          <w:t>)</w:t>
        </w:r>
        <w:r w:rsidRPr="00043E8D">
          <w:rPr>
            <w:rStyle w:val="Hyperlink"/>
            <w:color w:val="auto"/>
            <w:sz w:val="20"/>
            <w:szCs w:val="20"/>
            <w:u w:val="none"/>
          </w:rPr>
          <w:t>.</w:t>
        </w:r>
      </w:hyperlink>
    </w:p>
    <w:p w14:paraId="6665F0C9" w14:textId="4BB82179" w:rsidR="00150D53" w:rsidRPr="00043E8D" w:rsidRDefault="00150D53">
      <w:pPr>
        <w:pStyle w:val="Voetnoottekst"/>
        <w:rPr>
          <w:lang w:val="en-IE"/>
        </w:rPr>
      </w:pPr>
    </w:p>
  </w:footnote>
  <w:footnote w:id="2">
    <w:p w14:paraId="64B7F609" w14:textId="60D28DB5" w:rsidR="00996C0F" w:rsidRPr="00043E8D" w:rsidRDefault="00996C0F" w:rsidP="00996C0F">
      <w:pPr>
        <w:rPr>
          <w:rStyle w:val="Hyperlink"/>
          <w:color w:val="auto"/>
          <w:sz w:val="20"/>
          <w:szCs w:val="20"/>
          <w:u w:val="none"/>
          <w:lang w:val="en-US"/>
        </w:rPr>
      </w:pPr>
      <w:r>
        <w:rPr>
          <w:rStyle w:val="Voetnootmarkering"/>
        </w:rPr>
        <w:footnoteRef/>
      </w:r>
      <w:r>
        <w:t xml:space="preserve"> </w:t>
      </w:r>
      <w:hyperlink r:id="rId2" w:history="1">
        <w:r w:rsidRPr="00043E8D">
          <w:rPr>
            <w:rStyle w:val="Hyperlink"/>
            <w:color w:val="auto"/>
            <w:sz w:val="20"/>
            <w:szCs w:val="20"/>
            <w:u w:val="none"/>
            <w:lang w:val="en-US"/>
          </w:rPr>
          <w:t>Article 107, Consolidated Version of the Treaty on European Union and the Treaty on the Functioning of the European Union OJ C202/1 (TFEU</w:t>
        </w:r>
      </w:hyperlink>
      <w:r w:rsidRPr="00043E8D">
        <w:rPr>
          <w:rStyle w:val="Hyperlink"/>
          <w:color w:val="auto"/>
          <w:sz w:val="20"/>
          <w:szCs w:val="20"/>
          <w:u w:val="none"/>
          <w:lang w:val="en-US"/>
        </w:rPr>
        <w:t>).</w:t>
      </w:r>
    </w:p>
    <w:p w14:paraId="3BDBBBE2" w14:textId="0066AD23" w:rsidR="00996C0F" w:rsidRPr="00043E8D" w:rsidRDefault="00996C0F">
      <w:pPr>
        <w:pStyle w:val="Voetnoottekst"/>
        <w:rPr>
          <w:lang w:val="en-I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31C61"/>
    <w:multiLevelType w:val="hybridMultilevel"/>
    <w:tmpl w:val="FC74754A"/>
    <w:lvl w:ilvl="0" w:tplc="F1E2FF8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17796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22F"/>
    <w:rsid w:val="0001006D"/>
    <w:rsid w:val="00043E8D"/>
    <w:rsid w:val="00070B15"/>
    <w:rsid w:val="000E7B68"/>
    <w:rsid w:val="000F13B8"/>
    <w:rsid w:val="000F6C60"/>
    <w:rsid w:val="001169AC"/>
    <w:rsid w:val="00150D53"/>
    <w:rsid w:val="0016077B"/>
    <w:rsid w:val="001615FB"/>
    <w:rsid w:val="00174313"/>
    <w:rsid w:val="00186332"/>
    <w:rsid w:val="001B665B"/>
    <w:rsid w:val="001E56A0"/>
    <w:rsid w:val="0025604F"/>
    <w:rsid w:val="0028526E"/>
    <w:rsid w:val="002F579A"/>
    <w:rsid w:val="003007F1"/>
    <w:rsid w:val="0030416C"/>
    <w:rsid w:val="00307F21"/>
    <w:rsid w:val="00322712"/>
    <w:rsid w:val="00385B28"/>
    <w:rsid w:val="003979C0"/>
    <w:rsid w:val="003A1699"/>
    <w:rsid w:val="003D280E"/>
    <w:rsid w:val="004052A3"/>
    <w:rsid w:val="00430F05"/>
    <w:rsid w:val="004425D6"/>
    <w:rsid w:val="004470DA"/>
    <w:rsid w:val="00490068"/>
    <w:rsid w:val="004D2394"/>
    <w:rsid w:val="004D627D"/>
    <w:rsid w:val="004E5F72"/>
    <w:rsid w:val="004F12F0"/>
    <w:rsid w:val="004F379A"/>
    <w:rsid w:val="00560771"/>
    <w:rsid w:val="005830C7"/>
    <w:rsid w:val="00593C8F"/>
    <w:rsid w:val="00595AE4"/>
    <w:rsid w:val="005A2BB8"/>
    <w:rsid w:val="005E0C58"/>
    <w:rsid w:val="005E4B1C"/>
    <w:rsid w:val="00611B5C"/>
    <w:rsid w:val="006172E4"/>
    <w:rsid w:val="006227B9"/>
    <w:rsid w:val="00623ED0"/>
    <w:rsid w:val="00644C2E"/>
    <w:rsid w:val="00654CA2"/>
    <w:rsid w:val="00657284"/>
    <w:rsid w:val="00695D9B"/>
    <w:rsid w:val="006D325E"/>
    <w:rsid w:val="006E5850"/>
    <w:rsid w:val="007207DD"/>
    <w:rsid w:val="00762333"/>
    <w:rsid w:val="00773E3B"/>
    <w:rsid w:val="007C58CF"/>
    <w:rsid w:val="007D3924"/>
    <w:rsid w:val="007E1680"/>
    <w:rsid w:val="007E6C3B"/>
    <w:rsid w:val="00816457"/>
    <w:rsid w:val="008169F9"/>
    <w:rsid w:val="008309C8"/>
    <w:rsid w:val="00850320"/>
    <w:rsid w:val="00855570"/>
    <w:rsid w:val="0087095F"/>
    <w:rsid w:val="0087301A"/>
    <w:rsid w:val="008A7A34"/>
    <w:rsid w:val="008E3D88"/>
    <w:rsid w:val="008F3CC1"/>
    <w:rsid w:val="0092022F"/>
    <w:rsid w:val="009309DA"/>
    <w:rsid w:val="00962256"/>
    <w:rsid w:val="0096376B"/>
    <w:rsid w:val="0098303D"/>
    <w:rsid w:val="00983A8D"/>
    <w:rsid w:val="00993D55"/>
    <w:rsid w:val="009945C9"/>
    <w:rsid w:val="00996C0F"/>
    <w:rsid w:val="009A1A6B"/>
    <w:rsid w:val="009D4A3D"/>
    <w:rsid w:val="009E0AF6"/>
    <w:rsid w:val="00A5189D"/>
    <w:rsid w:val="00A650D1"/>
    <w:rsid w:val="00A741C9"/>
    <w:rsid w:val="00A83A80"/>
    <w:rsid w:val="00B06712"/>
    <w:rsid w:val="00B16363"/>
    <w:rsid w:val="00B37E40"/>
    <w:rsid w:val="00BE328D"/>
    <w:rsid w:val="00BF1EFE"/>
    <w:rsid w:val="00C51328"/>
    <w:rsid w:val="00C70DCF"/>
    <w:rsid w:val="00C7253D"/>
    <w:rsid w:val="00CB07DB"/>
    <w:rsid w:val="00CE0AC3"/>
    <w:rsid w:val="00D04816"/>
    <w:rsid w:val="00D14281"/>
    <w:rsid w:val="00D26F4D"/>
    <w:rsid w:val="00D36EA0"/>
    <w:rsid w:val="00D37530"/>
    <w:rsid w:val="00D54297"/>
    <w:rsid w:val="00DA3E89"/>
    <w:rsid w:val="00DA5EFF"/>
    <w:rsid w:val="00DC17A0"/>
    <w:rsid w:val="00DD1E32"/>
    <w:rsid w:val="00DD7A09"/>
    <w:rsid w:val="00DF134C"/>
    <w:rsid w:val="00DF59A2"/>
    <w:rsid w:val="00E11E08"/>
    <w:rsid w:val="00E4025B"/>
    <w:rsid w:val="00E644E7"/>
    <w:rsid w:val="00EA075B"/>
    <w:rsid w:val="00EB4F40"/>
    <w:rsid w:val="00ED746F"/>
    <w:rsid w:val="00EF1106"/>
    <w:rsid w:val="00EF494B"/>
    <w:rsid w:val="00F11F48"/>
    <w:rsid w:val="00F13E67"/>
    <w:rsid w:val="00F13E6D"/>
    <w:rsid w:val="00F528A5"/>
    <w:rsid w:val="00F7700B"/>
    <w:rsid w:val="00FA42C3"/>
    <w:rsid w:val="00FC3A98"/>
    <w:rsid w:val="00FC5BE0"/>
    <w:rsid w:val="00FE250D"/>
    <w:rsid w:val="00FE5036"/>
    <w:rsid w:val="00FF45E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8647D"/>
  <w15:chartTrackingRefBased/>
  <w15:docId w15:val="{4FA6BB24-4F85-9545-BD82-60C697E8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FC5BE0"/>
    <w:rPr>
      <w:lang w:val="en-GB"/>
    </w:rPr>
  </w:style>
  <w:style w:type="character" w:styleId="Verwijzingopmerking">
    <w:name w:val="annotation reference"/>
    <w:basedOn w:val="Standaardalinea-lettertype"/>
    <w:uiPriority w:val="99"/>
    <w:semiHidden/>
    <w:unhideWhenUsed/>
    <w:rsid w:val="00FC5BE0"/>
    <w:rPr>
      <w:sz w:val="16"/>
      <w:szCs w:val="16"/>
    </w:rPr>
  </w:style>
  <w:style w:type="paragraph" w:styleId="Tekstopmerking">
    <w:name w:val="annotation text"/>
    <w:basedOn w:val="Standaard"/>
    <w:link w:val="TekstopmerkingChar"/>
    <w:uiPriority w:val="99"/>
    <w:semiHidden/>
    <w:unhideWhenUsed/>
    <w:rsid w:val="00FC5BE0"/>
    <w:rPr>
      <w:sz w:val="20"/>
      <w:szCs w:val="20"/>
    </w:rPr>
  </w:style>
  <w:style w:type="character" w:customStyle="1" w:styleId="TekstopmerkingChar">
    <w:name w:val="Tekst opmerking Char"/>
    <w:basedOn w:val="Standaardalinea-lettertype"/>
    <w:link w:val="Tekstopmerking"/>
    <w:uiPriority w:val="99"/>
    <w:semiHidden/>
    <w:rsid w:val="00FC5BE0"/>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FC5BE0"/>
    <w:rPr>
      <w:b/>
      <w:bCs/>
    </w:rPr>
  </w:style>
  <w:style w:type="character" w:customStyle="1" w:styleId="OnderwerpvanopmerkingChar">
    <w:name w:val="Onderwerp van opmerking Char"/>
    <w:basedOn w:val="TekstopmerkingChar"/>
    <w:link w:val="Onderwerpvanopmerking"/>
    <w:uiPriority w:val="99"/>
    <w:semiHidden/>
    <w:rsid w:val="00FC5BE0"/>
    <w:rPr>
      <w:b/>
      <w:bCs/>
      <w:sz w:val="20"/>
      <w:szCs w:val="20"/>
      <w:lang w:val="en-GB"/>
    </w:rPr>
  </w:style>
  <w:style w:type="paragraph" w:styleId="Lijstalinea">
    <w:name w:val="List Paragraph"/>
    <w:basedOn w:val="Standaard"/>
    <w:uiPriority w:val="34"/>
    <w:qFormat/>
    <w:rsid w:val="004D2394"/>
    <w:pPr>
      <w:ind w:left="720"/>
      <w:contextualSpacing/>
    </w:pPr>
  </w:style>
  <w:style w:type="paragraph" w:styleId="Voetnoottekst">
    <w:name w:val="footnote text"/>
    <w:basedOn w:val="Standaard"/>
    <w:link w:val="VoetnoottekstChar"/>
    <w:uiPriority w:val="99"/>
    <w:semiHidden/>
    <w:unhideWhenUsed/>
    <w:rsid w:val="00996C0F"/>
    <w:rPr>
      <w:sz w:val="20"/>
      <w:szCs w:val="20"/>
    </w:rPr>
  </w:style>
  <w:style w:type="character" w:customStyle="1" w:styleId="VoetnoottekstChar">
    <w:name w:val="Voetnoottekst Char"/>
    <w:basedOn w:val="Standaardalinea-lettertype"/>
    <w:link w:val="Voetnoottekst"/>
    <w:uiPriority w:val="99"/>
    <w:semiHidden/>
    <w:rsid w:val="00996C0F"/>
    <w:rPr>
      <w:sz w:val="20"/>
      <w:szCs w:val="20"/>
      <w:lang w:val="en-GB"/>
    </w:rPr>
  </w:style>
  <w:style w:type="character" w:styleId="Voetnootmarkering">
    <w:name w:val="footnote reference"/>
    <w:basedOn w:val="Standaardalinea-lettertype"/>
    <w:uiPriority w:val="99"/>
    <w:semiHidden/>
    <w:unhideWhenUsed/>
    <w:rsid w:val="00996C0F"/>
    <w:rPr>
      <w:vertAlign w:val="superscript"/>
    </w:rPr>
  </w:style>
  <w:style w:type="character" w:styleId="Hyperlink">
    <w:name w:val="Hyperlink"/>
    <w:basedOn w:val="Standaardalinea-lettertype"/>
    <w:uiPriority w:val="99"/>
    <w:unhideWhenUsed/>
    <w:rsid w:val="00996C0F"/>
    <w:rPr>
      <w:color w:val="0563C1" w:themeColor="hyperlink"/>
      <w:u w:val="single"/>
    </w:rPr>
  </w:style>
  <w:style w:type="character" w:styleId="Onopgelostemelding">
    <w:name w:val="Unresolved Mention"/>
    <w:basedOn w:val="Standaardalinea-lettertype"/>
    <w:uiPriority w:val="99"/>
    <w:semiHidden/>
    <w:unhideWhenUsed/>
    <w:rsid w:val="00996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76099">
      <w:bodyDiv w:val="1"/>
      <w:marLeft w:val="0"/>
      <w:marRight w:val="0"/>
      <w:marTop w:val="0"/>
      <w:marBottom w:val="0"/>
      <w:divBdr>
        <w:top w:val="none" w:sz="0" w:space="0" w:color="auto"/>
        <w:left w:val="none" w:sz="0" w:space="0" w:color="auto"/>
        <w:bottom w:val="none" w:sz="0" w:space="0" w:color="auto"/>
        <w:right w:val="none" w:sz="0" w:space="0" w:color="auto"/>
      </w:divBdr>
    </w:div>
    <w:div w:id="400719279">
      <w:bodyDiv w:val="1"/>
      <w:marLeft w:val="0"/>
      <w:marRight w:val="0"/>
      <w:marTop w:val="0"/>
      <w:marBottom w:val="0"/>
      <w:divBdr>
        <w:top w:val="none" w:sz="0" w:space="0" w:color="auto"/>
        <w:left w:val="none" w:sz="0" w:space="0" w:color="auto"/>
        <w:bottom w:val="none" w:sz="0" w:space="0" w:color="auto"/>
        <w:right w:val="none" w:sz="0" w:space="0" w:color="auto"/>
      </w:divBdr>
    </w:div>
    <w:div w:id="1640261060">
      <w:bodyDiv w:val="1"/>
      <w:marLeft w:val="0"/>
      <w:marRight w:val="0"/>
      <w:marTop w:val="0"/>
      <w:marBottom w:val="0"/>
      <w:divBdr>
        <w:top w:val="none" w:sz="0" w:space="0" w:color="auto"/>
        <w:left w:val="none" w:sz="0" w:space="0" w:color="auto"/>
        <w:bottom w:val="none" w:sz="0" w:space="0" w:color="auto"/>
        <w:right w:val="none" w:sz="0" w:space="0" w:color="auto"/>
      </w:divBdr>
    </w:div>
    <w:div w:id="180010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ambrechtlaw.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EN/TXT/?uri=celex%3A12012E%2FTXT" TargetMode="External"/><Relationship Id="rId1" Type="http://schemas.openxmlformats.org/officeDocument/2006/relationships/hyperlink" Target="https://www.ejustice.just.fgov.be/eli/decreet/2022/01/21/2022040128/staatsbl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3086-CDEF-6F4E-92F4-90515F69B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728</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Ryan</dc:creator>
  <cp:keywords/>
  <dc:description/>
  <cp:lastModifiedBy>Lucie Lambrecht  - Lambrecht Law -</cp:lastModifiedBy>
  <cp:revision>14</cp:revision>
  <cp:lastPrinted>2022-06-06T16:36:00Z</cp:lastPrinted>
  <dcterms:created xsi:type="dcterms:W3CDTF">2022-06-06T16:36:00Z</dcterms:created>
  <dcterms:modified xsi:type="dcterms:W3CDTF">2022-06-06T19:59:00Z</dcterms:modified>
</cp:coreProperties>
</file>